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sz w:val="36"/>
          <w:highlight w:val="red"/>
          <w:u w:val="single"/>
        </w:rPr>
      </w:pPr>
      <w:r>
        <w:rPr>
          <w:rFonts w:cs="Calibri" w:cstheme="minorHAnsi"/>
          <w:b/>
          <w:sz w:val="36"/>
          <w:highlight w:val="red"/>
          <w:u w:val="single"/>
        </w:rPr>
        <w:t>ZWYCIĘZCY GRAND PRESS PHOTO 202</w:t>
      </w:r>
      <w:r>
        <w:rPr>
          <w:rFonts w:cs="Calibri" w:cstheme="minorHAnsi"/>
          <w:b/>
          <w:sz w:val="36"/>
          <w:highlight w:val="red"/>
          <w:u w:val="single"/>
        </w:rPr>
        <w:t>6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>Więcej informacji na stronie: https://grandpressphoto.pl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  <w:t>KATEGORIA: STORIES – CURRENT EVENTS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>I</w:t>
      </w:r>
      <w:r>
        <w:rPr>
          <w:rFonts w:cs="Calibri" w:cstheme="minorHAnsi"/>
          <w:b/>
        </w:rPr>
        <w:t xml:space="preserve"> miejsce –</w:t>
      </w:r>
      <w:r>
        <w:rPr>
          <w:rFonts w:cs="Calibri" w:cstheme="minorHAnsi"/>
          <w:b w:val="false"/>
          <w:bCs w:val="false"/>
        </w:rPr>
        <w:t xml:space="preserve"> </w:t>
      </w:r>
      <w:r>
        <w:rPr>
          <w:rFonts w:cs="Calibri" w:cstheme="minorHAnsi"/>
          <w:b w:val="false"/>
          <w:bCs w:val="false"/>
        </w:rPr>
        <w:t>JAKUB WŁODEK</w:t>
      </w:r>
      <w:r>
        <w:rPr>
          <w:rFonts w:cs="Calibri" w:cstheme="minorHAnsi"/>
          <w:b w:val="false"/>
          <w:bCs w:val="false"/>
          <w:color w:val="000000"/>
        </w:rPr>
        <w:t>, „Gazeta Wyborcza”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  <w:i/>
          <w:iCs/>
          <w:color w:val="010719"/>
        </w:rPr>
        <w:t xml:space="preserve">Nazwa katalogu: </w:t>
      </w:r>
      <w:r>
        <w:rPr>
          <w:rFonts w:cs="Calibri" w:cstheme="minorHAnsi"/>
          <w:i w:val="false"/>
          <w:iCs w:val="false"/>
          <w:color w:val="010719"/>
        </w:rPr>
        <w:t>CZZ65400</w:t>
      </w:r>
    </w:p>
    <w:p>
      <w:pPr>
        <w:pStyle w:val="Normal"/>
        <w:spacing w:lineRule="auto" w:line="240" w:before="0" w:after="0"/>
        <w:contextualSpacing/>
        <w:rPr>
          <w:b w:val="false"/>
          <w:bCs w:val="false"/>
        </w:rPr>
      </w:pPr>
      <w:r>
        <w:rPr>
          <w:rFonts w:cs="Calibri" w:cstheme="minorHAnsi"/>
          <w:b w:val="false"/>
          <w:bCs w:val="false"/>
          <w:color w:val="010719"/>
          <w:highlight w:val="white"/>
        </w:rPr>
        <w:t>Tej zimy mieszkańcy Kijowa musieli się mierzyć nie tylko z intensywnymi rosyjskimi ostrzałami, ale i bardzo silnymi mrozami. W wyniku rosyjskich ataków na infrastrukturę krytyczną duża część miasta została pozbawiona centralnego ogrzewania i prądu. Kilkaset tysięcy osób opuściło Kijów, jednak większość została, a duch oporu Ukraińców się nie załamał. W odpowiedzi na kryzys do miasta napłynęła pomoc z zagranicy.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10719"/>
          <w:highlight w:val="white"/>
        </w:rPr>
      </w:pPr>
      <w:r>
        <w:rPr/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>I</w:t>
      </w:r>
      <w:r>
        <w:rPr>
          <w:rFonts w:cs="Calibri" w:cstheme="minorHAnsi"/>
          <w:b/>
        </w:rPr>
        <w:t>I</w:t>
      </w:r>
      <w:r>
        <w:rPr>
          <w:rFonts w:cs="Calibri" w:cstheme="minorHAnsi"/>
          <w:b/>
        </w:rPr>
        <w:t xml:space="preserve"> miejsce –</w:t>
      </w:r>
      <w:r>
        <w:rPr>
          <w:rFonts w:cs="Calibri" w:cstheme="minorHAnsi"/>
          <w:b w:val="false"/>
          <w:bCs w:val="false"/>
        </w:rPr>
        <w:t xml:space="preserve"> </w:t>
      </w:r>
      <w:r>
        <w:rPr>
          <w:rFonts w:cs="Calibri" w:cstheme="minorHAnsi"/>
          <w:b w:val="false"/>
          <w:bCs w:val="false"/>
        </w:rPr>
        <w:t>WOJCIECH GRZĘDZIŃSKI</w:t>
      </w:r>
      <w:r>
        <w:rPr>
          <w:rFonts w:eastAsia="Calibri" w:cs="Calibri" w:cstheme="minorHAnsi"/>
          <w:b w:val="false"/>
          <w:bCs w:val="false"/>
          <w:color w:val="auto"/>
          <w:kern w:val="0"/>
          <w:sz w:val="22"/>
          <w:szCs w:val="22"/>
          <w:lang w:val="pl-PL" w:eastAsia="zh-CN" w:bidi="ar-SA"/>
        </w:rPr>
        <w:t>, dla Anadolu Images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  <w:i/>
          <w:iCs/>
          <w:color w:val="010719"/>
          <w:lang w:val="en-US"/>
        </w:rPr>
        <w:t xml:space="preserve">Nazwa katalogu: </w:t>
      </w:r>
      <w:r>
        <w:rPr>
          <w:rFonts w:cs="Calibri" w:cstheme="minorHAnsi"/>
          <w:i w:val="false"/>
          <w:iCs w:val="false"/>
          <w:color w:val="010719"/>
          <w:lang w:val="en-US"/>
        </w:rPr>
        <w:t>C1veloce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10719"/>
        </w:rPr>
      </w:pPr>
      <w:r>
        <w:rPr>
          <w:rFonts w:eastAsia="Times New Roman" w:cs="Calibri" w:cstheme="minorHAnsi"/>
          <w:color w:val="010719"/>
          <w:lang w:eastAsia="pl-PL"/>
        </w:rPr>
        <w:t>Eksperci medycyny sądowej, śledczy, Państwowa Służba Ratunkowa i specjaliści ds. badań DNA pobierają próbki i odciski palców podczas badań zwłok poległych ukraińskich żołnierzy. Sto ciał z wymiany ciał między Ukrainą a Rosją trafiło do odeskiej kostnicy polowej, prowadzonej przez Regionalne Biuro Ekspertyz Sądowo-Medycznych. Po zakończeniu procesu ciała są przechowywane w chłodniach kolejowych, oczekując na wyniki testów DNA i odnalezienie krewnych.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10719"/>
          <w:highlight w:val="white"/>
        </w:rPr>
      </w:pPr>
      <w:r>
        <w:rPr>
          <w:rFonts w:cs="Calibri" w:cstheme="minorHAnsi"/>
          <w:color w:val="010719"/>
          <w:highlight w:val="whit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10719"/>
          <w:highlight w:val="white"/>
        </w:rPr>
      </w:pPr>
      <w:r>
        <w:rPr>
          <w:rFonts w:cs="Calibri" w:cstheme="minorHAnsi"/>
          <w:color w:val="010719"/>
          <w:highlight w:val="whit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  <w:t>KATEGORIA: STORIES – CLIMATE, RESPONSIBILITY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i/>
          <w:i/>
          <w:iCs/>
          <w:color w:val="010719"/>
        </w:rPr>
      </w:pPr>
      <w:r>
        <w:rPr>
          <w:rFonts w:cs="Calibri" w:cstheme="minorHAnsi"/>
          <w:b/>
        </w:rPr>
        <w:t xml:space="preserve">I miejsce – </w:t>
      </w:r>
      <w:r>
        <w:rPr>
          <w:rFonts w:cs="Calibri" w:cstheme="minorHAnsi"/>
          <w:b w:val="false"/>
          <w:bCs w:val="false"/>
        </w:rPr>
        <w:t>MACIEJ JABŁOŃSKI</w:t>
      </w:r>
      <w:r>
        <w:rPr>
          <w:rFonts w:eastAsia="Calibri" w:cs="Calibri" w:cstheme="minorHAnsi"/>
          <w:color w:val="000000"/>
          <w:kern w:val="0"/>
          <w:sz w:val="22"/>
          <w:szCs w:val="22"/>
          <w:lang w:val="pl-PL" w:eastAsia="zh-CN" w:bidi="ar-SA"/>
        </w:rPr>
        <w:t>, F11</w:t>
      </w:r>
      <w:r>
        <w:rPr>
          <w:rFonts w:cs="Calibri" w:cstheme="minorHAnsi"/>
          <w:color w:val="000000"/>
        </w:rPr>
        <w:br/>
      </w:r>
      <w:r>
        <w:rPr>
          <w:rFonts w:cs="Calibri" w:cstheme="minorHAnsi"/>
          <w:i/>
          <w:iCs/>
          <w:color w:val="010719"/>
        </w:rPr>
        <w:t xml:space="preserve">Nazwa katalogu: </w:t>
      </w:r>
      <w:r>
        <w:rPr>
          <w:rFonts w:cs="Calibri" w:cstheme="minorHAnsi"/>
          <w:i w:val="false"/>
          <w:iCs w:val="false"/>
          <w:color w:val="000000"/>
        </w:rPr>
        <w:t>RSthGeor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  <w:highlight w:val="white"/>
        </w:rPr>
      </w:pPr>
      <w:r>
        <w:rPr>
          <w:rFonts w:cs="Calibri" w:cstheme="minorHAnsi"/>
          <w:color w:val="000000"/>
          <w:highlight w:val="white"/>
          <w:shd w:fill="FFFFFF" w:val="clear"/>
        </w:rPr>
        <w:t>„</w:t>
      </w:r>
      <w:r>
        <w:rPr>
          <w:rFonts w:cs="Calibri" w:cstheme="minorHAnsi"/>
          <w:color w:val="000000"/>
          <w:highlight w:val="white"/>
          <w:shd w:fill="FFFFFF" w:val="clear"/>
        </w:rPr>
        <w:t>Silent Whaling Point”. Georgia Południowa, subantarktyczna wyspa na południowym Atlantyku, była na przełomie XIX i XX wieku jednym z centrów wielorybnictwa na masową skalę. Po intensywnej eksploatacji pozostały instalacje, infrastruktura i niemal puste wody. To opowieść o miejscu w trakcie zmiany – gdzie ślady dawnej działalności człowieka i odbudowujący się ekosystem istnieją równolegle, a krajobraz stopniowo uwalnia się od swojej przemysłowej przeszłości.</w:t>
      </w:r>
      <w:r>
        <w:rPr>
          <w:rFonts w:cs="Calibri" w:cstheme="minorHAnsi"/>
          <w:color w:val="000000"/>
          <w:shd w:fill="FFFFFF" w:val="clear"/>
        </w:rPr>
        <w:br/>
        <w:br/>
        <w:br/>
      </w:r>
      <w:r>
        <w:rPr>
          <w:rFonts w:cs="Calibri" w:cstheme="minorHAnsi"/>
          <w:b/>
          <w:u w:val="single"/>
        </w:rPr>
        <w:t>KATEGORIA: STORIES – PEOPLE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 xml:space="preserve">I miejsce – </w:t>
      </w:r>
      <w:r>
        <w:rPr>
          <w:rFonts w:cs="Calibri" w:cstheme="minorHAnsi"/>
          <w:b w:val="false"/>
          <w:bCs w:val="false"/>
        </w:rPr>
        <w:t>MICHAŁ KONRAD</w:t>
      </w:r>
      <w:r>
        <w:rPr>
          <w:rFonts w:eastAsia="Calibri" w:cs="Calibri" w:cstheme="minorHAnsi"/>
          <w:color w:val="000000"/>
          <w:kern w:val="0"/>
          <w:sz w:val="22"/>
          <w:szCs w:val="22"/>
          <w:lang w:val="pl-PL" w:eastAsia="zh-CN" w:bidi="ar-SA"/>
        </w:rPr>
        <w:t>, ZSP Wodzisław Śląski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i/>
          <w:iCs/>
          <w:color w:val="010719"/>
        </w:rPr>
        <w:t xml:space="preserve">Nazwa katalogu: </w:t>
      </w:r>
      <w:r>
        <w:rPr>
          <w:rFonts w:cs="Calibri" w:cstheme="minorHAnsi"/>
          <w:i w:val="false"/>
          <w:iCs w:val="false"/>
          <w:color w:val="000000"/>
        </w:rPr>
        <w:t>PMICHAL8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eastAsia="Times New Roman" w:cs="Calibri" w:cstheme="minorHAnsi"/>
          <w:color w:val="000000"/>
          <w:lang w:eastAsia="pl-PL"/>
        </w:rPr>
        <w:t> „</w:t>
      </w:r>
      <w:r>
        <w:rPr>
          <w:rFonts w:eastAsia="Times New Roman" w:cs="Calibri" w:cstheme="minorHAnsi"/>
          <w:color w:val="000000"/>
          <w:lang w:eastAsia="pl-PL"/>
        </w:rPr>
        <w:t>Ręka Boga” to cykl czarno-białych autoportretów zrealizowanych na terenie Górnego Śląska. Projekt podejmuje temat tożsamości jednostki w regionie o złożonej i wielowarstwowej historii. Obszar ten wielokrotnie zmieniał przynależność państwową. Ślady tych wydarzeń są obecne w krajobrazie, strukturze przestrzeni, architekturze, infrastrukturze przemysłowej oraz układzie pól i dróg. Autoportrety stanowią próbę osadzenia własnej tożsamości w tej przestrzeni oraz konfrontacji z dziedzictwem regionu. Tytułowa „Ręka Boga” odnosi się do procesów historycznych i politycznych, które na przestrzeni wieków wpływały na życie mieszkańców, często niezależnie od ich woli.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b/>
        </w:rPr>
        <w:t xml:space="preserve">II miejsce – </w:t>
      </w:r>
      <w:r>
        <w:rPr>
          <w:rFonts w:cs="Calibri" w:cstheme="minorHAnsi"/>
          <w:b w:val="false"/>
          <w:bCs w:val="false"/>
        </w:rPr>
        <w:t>ŁUKASZ SOKÓŁ</w:t>
      </w:r>
      <w:r>
        <w:rPr>
          <w:rFonts w:eastAsia="Calibri" w:cs="Calibri" w:cstheme="minorHAnsi"/>
          <w:color w:val="000000"/>
          <w:kern w:val="0"/>
          <w:sz w:val="22"/>
          <w:szCs w:val="22"/>
          <w:lang w:val="pl-PL" w:eastAsia="zh-CN" w:bidi="ar-SA"/>
        </w:rPr>
        <w:t>, Maitri.pl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i/>
          <w:iCs/>
          <w:color w:val="010719"/>
        </w:rPr>
        <w:t xml:space="preserve">Nazwa katalogu: </w:t>
      </w:r>
      <w:r>
        <w:rPr>
          <w:rFonts w:cs="Calibri" w:cstheme="minorHAnsi"/>
          <w:i w:val="false"/>
          <w:iCs w:val="false"/>
          <w:color w:val="000000"/>
        </w:rPr>
        <w:t>Pnepali0</w:t>
      </w:r>
    </w:p>
    <w:p>
      <w:pPr>
        <w:pStyle w:val="Normal"/>
        <w:spacing w:lineRule="auto" w:line="240" w:before="0" w:after="0"/>
        <w:contextualSpacing/>
        <w:rPr>
          <w:b w:val="false"/>
          <w:bCs w:val="false"/>
          <w:u w:val="none"/>
        </w:rPr>
      </w:pPr>
      <w:r>
        <w:rPr>
          <w:rFonts w:cs="Calibri" w:cstheme="minorHAnsi"/>
          <w:b w:val="false"/>
          <w:bCs w:val="false"/>
          <w:color w:val="000000"/>
          <w:highlight w:val="white"/>
          <w:u w:val="none"/>
        </w:rPr>
        <w:t>„</w:t>
      </w:r>
      <w:r>
        <w:rPr>
          <w:rFonts w:cs="Calibri" w:cstheme="minorHAnsi"/>
          <w:b w:val="false"/>
          <w:bCs w:val="false"/>
          <w:color w:val="000000"/>
          <w:highlight w:val="white"/>
          <w:u w:val="none"/>
        </w:rPr>
        <w:t>Uczennice ze wzgórz”. W Nepalu większość rodzin żyje na stromych zboczach, najczęściej utrzymując się z uprawy pola. Warunki naturalne, kultura i dostęp do edukacji stanowią barierę rozwoju dla młodych ludzi, zwłaszcza dziewcząt. Dla bohaterek fotoreportażu dostęp do edukacji wciąż pozostaje przywilejem, nie standardem. Materiał jest próbą oddania głosu dziewczynom, które – mimo ograniczeń – budują swoją tożsamość i redefiniują swoje miejsce w społeczeństwie.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l-PL" w:eastAsia="zh-CN" w:bidi="ar-SA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a77605"/>
    <w:pPr>
      <w:keepNext w:val="true"/>
      <w:suppressAutoHyphens w:val="false"/>
      <w:spacing w:lineRule="auto" w:line="259" w:before="240" w:after="60"/>
      <w:outlineLvl w:val="2"/>
    </w:pPr>
    <w:rPr>
      <w:rFonts w:ascii="Calibri Light" w:hAnsi="Calibri Light" w:eastAsia="Times New Roman" w:cs="Times New Roman"/>
      <w:b/>
      <w:bCs/>
      <w:sz w:val="26"/>
      <w:szCs w:val="26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Pr/>
  </w:style>
  <w:style w:type="character" w:styleId="Nagwek3Znak" w:customStyle="1">
    <w:name w:val="Nagłówek 3 Znak"/>
    <w:basedOn w:val="DefaultParagraphFont"/>
    <w:uiPriority w:val="9"/>
    <w:qFormat/>
    <w:rsid w:val="00a77605"/>
    <w:rPr>
      <w:rFonts w:ascii="Calibri Light" w:hAnsi="Calibri Light" w:eastAsia="Times New Roman" w:cs="Times New Roman"/>
      <w:b/>
      <w:bCs/>
      <w:sz w:val="26"/>
      <w:szCs w:val="26"/>
      <w:lang w:eastAsia="en-US" w:bidi="ar-SA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Arial Unicode MS;Arial" w:cs="Arial Unicode MS;Arial"/>
      <w:sz w:val="28"/>
      <w:szCs w:val="28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Application>LibreOffice/24.2.7.2$Linux_X86_64 LibreOffice_project/420$Build-2</Application>
  <AppVersion>15.0000</AppVersion>
  <Pages>2</Pages>
  <Words>390</Words>
  <Characters>2602</Characters>
  <CharactersWithSpaces>2988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2023-05-22T12:10:00Z</dcterms:created>
  <dc:creator>Iwona Szymańska</dc:creator>
  <dc:description/>
  <dc:language>pl-PL</dc:language>
  <cp:lastModifiedBy/>
  <dcterms:modified xsi:type="dcterms:W3CDTF">2026-05-28T14:39:05Z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